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UNIVERSIDAD DE EXTREMADURA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2ª LLAMADA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>del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ANUNCIO de Consulta Pública al Mercado de Demanda Tecnológica para procedimiento de Compra Pública Innovadora, dentro del proyecto de desarrollo “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Large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Animal 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Biopole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(LAB-POLE)” financiado por el Fondo Europeo de Desarrollo Regional (FEDER): Programa Operativo Fondos Tecnológicos, publicado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el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jueves,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18 de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diciembre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de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 2014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en DOE Nº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243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Expediente: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CPI.018.2014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1. ENTIDAD DEMANDANTE: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Organismo: Universidad de Extremadura.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Dependencia que tramita el expediente: Sección de Contratación y Compras.</w:t>
      </w:r>
    </w:p>
    <w:p w:rsidR="00C14137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c) Número de expediente: </w:t>
      </w:r>
      <w:r w:rsidRPr="003E7FA2">
        <w:rPr>
          <w:rFonts w:ascii="Times New Roman" w:hAnsi="Times New Roman"/>
          <w:noProof/>
          <w:color w:val="000000"/>
          <w:sz w:val="20"/>
          <w:szCs w:val="20"/>
        </w:rPr>
        <w:t>CPI.018.2014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2. OBJETO DE LA CONSULTA PÚBLICA AL MERCADO: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jc w:val="both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Según se describe en Anuncio publicado en el DOE, adjunto.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3. INFORMACIÓN SOBRE PROCEDIMIENTO DE RESPUESTA DEL MERCADO: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Entidad: Universidad de Extremadura — Servicio de Gestión y Transferencia de Resultados de Investigación (SGTRI).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Oficina Técnica proyectos LAB-POLE 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D. Francisco Díaz – e-correo: francisco.diaz@fundecyt-pctex.es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4. REQUISITOS ESPECÍFICOS DEL PROPONENTE: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Fabricantes y desarrolladores de tecnología que pueda cubrir la demanda de tecnología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innovadora.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5. PRESENTACIÓN DE PROPUESTAS TÉCNICAS DE TECNOLOGÍA INNOVADORA PARA CUBRIR LA NECESIDAD DETECTADA: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a) Fecha límite: Hasta las 14:00 horas del decimoquinto día natural (no sábado) contado a partir del siguiente al de la publicación de la 2ª Llamada en el Perfil del Contratante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El contenido de las propuestas debe presentarse en </w:t>
      </w:r>
      <w:r w:rsidRPr="00697D43">
        <w:rPr>
          <w:rFonts w:ascii="Times New Roman" w:hAnsi="Times New Roman"/>
          <w:b/>
          <w:color w:val="000000"/>
          <w:sz w:val="20"/>
          <w:szCs w:val="20"/>
        </w:rPr>
        <w:t xml:space="preserve">formato papel y soporte electrónico </w:t>
      </w:r>
      <w:r w:rsidRPr="00697D43">
        <w:rPr>
          <w:rFonts w:ascii="Times New Roman" w:hAnsi="Times New Roman"/>
          <w:color w:val="000000"/>
          <w:sz w:val="20"/>
          <w:szCs w:val="20"/>
        </w:rPr>
        <w:t>(CD, DVD o pen drive), con el esquema siguiente, en una extensión máxima recomendada de 10 páginas, sin aportación de documentación o información comercial: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Presentación de la entidad proponente.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Datos de contacto para consultas.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Capacidades de innovación de la entidad.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Productos innovadores lanzados al mercado en los últimos 3 años.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Memoria técnica sobre la solución a proponer para cubrir la demanda.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Indicar si la solución propuesta está protegida por patente, diseño de industrial o modelo de utilidad.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Grado de desarrollo de la misma.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Necesidades de subcontratación para su desarrollo y porcentaje de la subcontratación.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Plazo estimado de entrega de la misma en caso de celebrarse la compra.</w:t>
      </w:r>
    </w:p>
    <w:p w:rsidR="00C14137" w:rsidRPr="00697D43" w:rsidRDefault="00C14137" w:rsidP="00C141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Presupuesto estimativo de desarrollo de la solución propuesta.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Lugar de presentación: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1) Entidad: Universidad de Extremadura — Servicio de Gestión y Transferencia de Resultados de Investigación (SGTRI).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2) Domicilio, Localidad, Código Postal, Teléfono y Fax: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Avda. de Elvas, s/n., Edificio “Guadiana”, Badajoz — 06006.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Es admisible cualquier procedimiento recogido a derecho (mensajería, correo postal ordinario con aviso de haber sido remitido en fecha o entrega en mano en registro)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6. EVALUACIÓN DE LAS PROPUESTAS: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Entidad: Universidad de Extremadura.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Mesa de Expertos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lastRenderedPageBreak/>
        <w:t>7. NOTAS ACLARATORIAS: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Dicha consulta no consiste en una licitación, por lo que no existen pliegos de prescripciones técnicas y administrativas en este punto del procedimiento.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Las respuestas del mercado deben versar sobre ideas de proyectos de innovación, basadas en productos</w:t>
      </w:r>
      <w:r>
        <w:rPr>
          <w:rFonts w:ascii="Times New Roman" w:hAnsi="Times New Roman"/>
          <w:color w:val="000000"/>
          <w:sz w:val="20"/>
          <w:szCs w:val="20"/>
        </w:rPr>
        <w:t xml:space="preserve"> o servicios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existentes</w:t>
      </w:r>
      <w:r>
        <w:rPr>
          <w:rFonts w:ascii="Times New Roman" w:hAnsi="Times New Roman"/>
          <w:color w:val="000000"/>
          <w:sz w:val="20"/>
          <w:szCs w:val="20"/>
        </w:rPr>
        <w:t xml:space="preserve"> mejorados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o nuevos, que desarrollados </w:t>
      </w:r>
      <w:r>
        <w:rPr>
          <w:rFonts w:ascii="Times New Roman" w:hAnsi="Times New Roman"/>
          <w:color w:val="000000"/>
          <w:sz w:val="20"/>
          <w:szCs w:val="20"/>
        </w:rPr>
        <w:t xml:space="preserve">e innovados, 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sean capaces de cubrir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o mejorar las prestaciones esperadas.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No son considerados como Compras Públicas Innovadoras (CPI) aquellos desarrollos tecnológicos propuestos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que previamente hayan sido protegidos por cualquiera de los instrumentos de protección industrial (patentes, modelos de utilidad, etc.)</w:t>
      </w:r>
      <w:r>
        <w:rPr>
          <w:rFonts w:ascii="Times New Roman" w:hAnsi="Times New Roman"/>
          <w:color w:val="000000"/>
          <w:sz w:val="20"/>
          <w:szCs w:val="20"/>
        </w:rPr>
        <w:t>, ni equipamientos existentes en el mercado sin innovaciones adicionales o que, aunque recientes, hayan sido comercializadas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C14137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d) Las futuras licitaciones que se publiquen de CPI, basadas en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y las ideas aportadas por el Mercado, al ser financiables con fondos de I+D, del Fondo Tecnológico FEDER, deben cubrir trabajos de desarrollo de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I+D+i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por parte de los proveedores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exclusivamente. </w:t>
      </w:r>
      <w:r>
        <w:rPr>
          <w:rFonts w:ascii="Times New Roman" w:hAnsi="Times New Roman"/>
          <w:color w:val="000000"/>
          <w:sz w:val="20"/>
          <w:szCs w:val="20"/>
        </w:rPr>
        <w:t>Es decir,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no consiste en la adquisición de equipamientos, aunque puede incluir la entrega de un prototipo no comercializable como elemento demostrador del desarrollo tecnológico contratado</w:t>
      </w:r>
      <w:r>
        <w:rPr>
          <w:rFonts w:ascii="Times New Roman" w:hAnsi="Times New Roman"/>
          <w:color w:val="000000"/>
          <w:sz w:val="20"/>
          <w:szCs w:val="20"/>
        </w:rPr>
        <w:t xml:space="preserve"> y resultado final de la CPI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C14137" w:rsidRPr="00697D43" w:rsidRDefault="00C14137" w:rsidP="00C1413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e) La información esperada, referente a las </w:t>
      </w:r>
      <w:r w:rsidRPr="00675940">
        <w:rPr>
          <w:rFonts w:ascii="Times New Roman" w:hAnsi="Times New Roman"/>
          <w:color w:val="000000"/>
          <w:sz w:val="20"/>
          <w:szCs w:val="20"/>
          <w:u w:val="single"/>
        </w:rPr>
        <w:t>Capacidades de innovación de la entidad</w:t>
      </w:r>
      <w:r>
        <w:rPr>
          <w:rFonts w:ascii="Times New Roman" w:hAnsi="Times New Roman"/>
          <w:color w:val="000000"/>
          <w:sz w:val="20"/>
          <w:szCs w:val="20"/>
        </w:rPr>
        <w:t xml:space="preserve">, se refieren al equipo técnico que forma parte de la plantilla, infraestructura y colaboraciones externas que muestren solvencia técnica para la ejecución de proyectos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I+DT+i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 parte de la empresa. No se considera como Capacidad de Innovación las de las empresas fabricantes que no pertenezcan a la misma empresa proponente.</w:t>
      </w: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14137" w:rsidRPr="00697D43" w:rsidRDefault="00C14137" w:rsidP="00C1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35414" w:rsidRDefault="00C14137" w:rsidP="00C14137">
      <w:r w:rsidRPr="00697D43">
        <w:rPr>
          <w:rFonts w:ascii="Times New Roman" w:hAnsi="Times New Roman"/>
          <w:color w:val="000000"/>
          <w:sz w:val="20"/>
          <w:szCs w:val="20"/>
        </w:rPr>
        <w:t xml:space="preserve">Badajoz, a </w:t>
      </w:r>
      <w:r w:rsidR="006E5B6A">
        <w:rPr>
          <w:rFonts w:ascii="Times New Roman" w:hAnsi="Times New Roman"/>
          <w:color w:val="000000"/>
          <w:sz w:val="20"/>
          <w:szCs w:val="20"/>
        </w:rPr>
        <w:t xml:space="preserve">2/02/2015 </w:t>
      </w:r>
      <w:bookmarkStart w:id="0" w:name="_GoBack"/>
      <w:bookmarkEnd w:id="0"/>
      <w:r w:rsidRPr="00697D43">
        <w:rPr>
          <w:rFonts w:ascii="Times New Roman" w:hAnsi="Times New Roman"/>
          <w:color w:val="000000"/>
          <w:sz w:val="20"/>
          <w:szCs w:val="20"/>
        </w:rPr>
        <w:t xml:space="preserve"> El Gerente, LUCIANO CORDERO SAAVEDRA.</w:t>
      </w:r>
    </w:p>
    <w:sectPr w:rsidR="00A35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3AA"/>
    <w:multiLevelType w:val="hybridMultilevel"/>
    <w:tmpl w:val="26A8786C"/>
    <w:lvl w:ilvl="0" w:tplc="41F0FD9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37"/>
    <w:rsid w:val="006E5B6A"/>
    <w:rsid w:val="00A35414"/>
    <w:rsid w:val="00C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3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2015-02-06T11:28:00Z</dcterms:created>
  <dcterms:modified xsi:type="dcterms:W3CDTF">2015-02-06T11:42:00Z</dcterms:modified>
</cp:coreProperties>
</file>